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5625" w14:textId="77777777" w:rsidR="00EA041A" w:rsidRDefault="00EA041A" w:rsidP="00EA041A">
      <w:pPr>
        <w:rPr>
          <w:rFonts w:ascii="Arial" w:hAnsi="Arial" w:cs="Arial"/>
          <w:b/>
          <w:bCs/>
          <w:sz w:val="44"/>
          <w:szCs w:val="44"/>
        </w:rPr>
      </w:pPr>
    </w:p>
    <w:p w14:paraId="317B5DE6" w14:textId="5D61B69C" w:rsidR="00EA041A" w:rsidRPr="00EA041A" w:rsidRDefault="00EA041A" w:rsidP="00EA041A">
      <w:pPr>
        <w:rPr>
          <w:rFonts w:ascii="Arial" w:hAnsi="Arial" w:cs="Arial"/>
          <w:b/>
          <w:bCs/>
          <w:sz w:val="44"/>
          <w:szCs w:val="44"/>
        </w:rPr>
      </w:pPr>
      <w:r w:rsidRPr="00EA041A">
        <w:rPr>
          <w:rFonts w:ascii="Arial" w:hAnsi="Arial" w:cs="Arial"/>
          <w:b/>
          <w:bCs/>
          <w:sz w:val="44"/>
          <w:szCs w:val="44"/>
        </w:rPr>
        <w:t>Special Instructions - Please Read Before Bidding.</w:t>
      </w:r>
    </w:p>
    <w:p w14:paraId="0DDC042A" w14:textId="20D5A1AF" w:rsidR="00EA041A" w:rsidRPr="00EA041A" w:rsidRDefault="00EA041A" w:rsidP="00EA041A">
      <w:pPr>
        <w:rPr>
          <w:rFonts w:ascii="Arial" w:hAnsi="Arial" w:cs="Arial"/>
          <w:b/>
          <w:bCs/>
        </w:rPr>
      </w:pPr>
      <w:r w:rsidRPr="00EA041A">
        <w:rPr>
          <w:rFonts w:ascii="Arial" w:hAnsi="Arial" w:cs="Arial"/>
          <w:b/>
          <w:bCs/>
        </w:rPr>
        <w:t>CLECO SALE EVENT ID 12288</w:t>
      </w:r>
    </w:p>
    <w:p w14:paraId="13323AB1" w14:textId="47F6F7B7" w:rsidR="00EA041A" w:rsidRPr="00EA041A" w:rsidRDefault="00EA041A" w:rsidP="00EA041A">
      <w:pPr>
        <w:rPr>
          <w:rFonts w:ascii="Arial" w:hAnsi="Arial" w:cs="Arial"/>
          <w:b/>
          <w:bCs/>
        </w:rPr>
      </w:pPr>
      <w:r w:rsidRPr="00EA041A">
        <w:rPr>
          <w:rFonts w:ascii="Arial" w:hAnsi="Arial" w:cs="Arial"/>
          <w:b/>
          <w:bCs/>
        </w:rPr>
        <w:t xml:space="preserve">Substation Power Transformers, </w:t>
      </w:r>
      <w:proofErr w:type="spellStart"/>
      <w:r w:rsidRPr="00EA041A">
        <w:rPr>
          <w:rFonts w:ascii="Arial" w:hAnsi="Arial" w:cs="Arial"/>
          <w:b/>
          <w:bCs/>
        </w:rPr>
        <w:t>Dolet</w:t>
      </w:r>
      <w:proofErr w:type="spellEnd"/>
      <w:r w:rsidRPr="00EA041A">
        <w:rPr>
          <w:rFonts w:ascii="Arial" w:hAnsi="Arial" w:cs="Arial"/>
          <w:b/>
          <w:bCs/>
        </w:rPr>
        <w:t xml:space="preserve"> Hills Power Station, Sealed Bid Tender</w:t>
      </w:r>
    </w:p>
    <w:p w14:paraId="3E22A404" w14:textId="77777777" w:rsidR="00EA041A" w:rsidRPr="00EA041A" w:rsidRDefault="00EA041A" w:rsidP="00EA041A">
      <w:pPr>
        <w:rPr>
          <w:rFonts w:ascii="Arial" w:hAnsi="Arial" w:cs="Arial"/>
        </w:rPr>
      </w:pPr>
      <w:r w:rsidRPr="00EA041A">
        <w:rPr>
          <w:rFonts w:ascii="Arial" w:hAnsi="Arial" w:cs="Arial"/>
        </w:rPr>
        <w:t xml:space="preserve">This sale event has a combination of bulk lots and individual lots for sale. Please ensure you understand the special bidding instructions prior to bidding. </w:t>
      </w:r>
    </w:p>
    <w:p w14:paraId="51FB14DB" w14:textId="77777777" w:rsidR="00EA041A" w:rsidRPr="00EA041A" w:rsidRDefault="00EA041A" w:rsidP="00EA041A">
      <w:pPr>
        <w:rPr>
          <w:rFonts w:ascii="Arial" w:hAnsi="Arial" w:cs="Arial"/>
        </w:rPr>
      </w:pPr>
      <w:r w:rsidRPr="00EA041A">
        <w:rPr>
          <w:rFonts w:ascii="Arial" w:hAnsi="Arial" w:cs="Arial"/>
        </w:rPr>
        <w:t xml:space="preserve">Lot 1.0 – This is a bulk bid for all 5 transformers available in this sale. This lot is made up of combining lots 160, 161, 162, 163 and 164 into one bulk bid. </w:t>
      </w:r>
    </w:p>
    <w:p w14:paraId="285BEDFA" w14:textId="77777777" w:rsidR="00EA041A" w:rsidRPr="00EA041A" w:rsidRDefault="00EA041A" w:rsidP="00EA041A">
      <w:pPr>
        <w:rPr>
          <w:rFonts w:ascii="Arial" w:hAnsi="Arial" w:cs="Arial"/>
        </w:rPr>
      </w:pPr>
      <w:r w:rsidRPr="00EA041A">
        <w:rPr>
          <w:rFonts w:ascii="Arial" w:hAnsi="Arial" w:cs="Arial"/>
        </w:rPr>
        <w:t>Lot 160 to 164- These lots are be offered individually by lot number.</w:t>
      </w:r>
    </w:p>
    <w:p w14:paraId="69C5502E" w14:textId="77777777" w:rsidR="00EA041A" w:rsidRPr="00EA041A" w:rsidRDefault="00EA041A" w:rsidP="00EA041A">
      <w:pPr>
        <w:rPr>
          <w:rFonts w:ascii="Arial" w:hAnsi="Arial" w:cs="Arial"/>
        </w:rPr>
      </w:pPr>
    </w:p>
    <w:p w14:paraId="51A1F609" w14:textId="77777777" w:rsidR="00EA041A" w:rsidRPr="00EA041A" w:rsidRDefault="00EA041A" w:rsidP="00EA041A">
      <w:pPr>
        <w:rPr>
          <w:rFonts w:ascii="Arial" w:hAnsi="Arial" w:cs="Arial"/>
        </w:rPr>
      </w:pPr>
      <w:r w:rsidRPr="00EA041A">
        <w:rPr>
          <w:rFonts w:ascii="Arial" w:hAnsi="Arial" w:cs="Arial"/>
        </w:rPr>
        <w:t>HOW TO WIN:</w:t>
      </w:r>
    </w:p>
    <w:p w14:paraId="2CE671EF" w14:textId="5E582220" w:rsidR="00B64669" w:rsidRDefault="00EA041A" w:rsidP="00EA041A">
      <w:pPr>
        <w:rPr>
          <w:rFonts w:ascii="Arial" w:hAnsi="Arial" w:cs="Arial"/>
        </w:rPr>
      </w:pPr>
      <w:r w:rsidRPr="00EA041A">
        <w:rPr>
          <w:rFonts w:ascii="Arial" w:hAnsi="Arial" w:cs="Arial"/>
        </w:rPr>
        <w:t>Bidder for Lot 1.0 will be declared winner ONLY if the bid amount for Lot 1.0 is greater than the combined bid amount for Lots 160 to 164.</w:t>
      </w:r>
    </w:p>
    <w:p w14:paraId="76221078" w14:textId="5FCCE181" w:rsidR="00EA041A" w:rsidRPr="00EA041A" w:rsidRDefault="00EA041A" w:rsidP="00EA0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CELCO reserves the right to award bids solely at their discretion </w:t>
      </w:r>
    </w:p>
    <w:p w14:paraId="1FADA2B0" w14:textId="77777777" w:rsidR="00B64669" w:rsidRPr="00EA041A" w:rsidRDefault="00B646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" w:hAnsi="Arial Black" w:cs="Arial"/>
          <w:color w:val="000000"/>
          <w:sz w:val="24"/>
          <w:szCs w:val="24"/>
        </w:rPr>
      </w:pPr>
    </w:p>
    <w:sectPr w:rsidR="00B64669" w:rsidRPr="00EA041A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FA37" w14:textId="77777777" w:rsidR="00591492" w:rsidRDefault="00591492">
      <w:pPr>
        <w:spacing w:after="0" w:line="240" w:lineRule="auto"/>
      </w:pPr>
      <w:r>
        <w:separator/>
      </w:r>
    </w:p>
  </w:endnote>
  <w:endnote w:type="continuationSeparator" w:id="0">
    <w:p w14:paraId="0610EDC3" w14:textId="77777777" w:rsidR="00591492" w:rsidRDefault="0059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6C15" w14:textId="77777777" w:rsidR="00B64669" w:rsidRDefault="00B64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0B5D" w14:textId="77777777" w:rsidR="00591492" w:rsidRDefault="00591492">
      <w:pPr>
        <w:spacing w:after="0" w:line="240" w:lineRule="auto"/>
      </w:pPr>
      <w:r>
        <w:separator/>
      </w:r>
    </w:p>
  </w:footnote>
  <w:footnote w:type="continuationSeparator" w:id="0">
    <w:p w14:paraId="12B27D2B" w14:textId="77777777" w:rsidR="00591492" w:rsidRDefault="0059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4D92" w14:textId="77777777" w:rsidR="00B646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75874B" wp14:editId="25D43438">
              <wp:simplePos x="0" y="0"/>
              <wp:positionH relativeFrom="column">
                <wp:posOffset>-457199</wp:posOffset>
              </wp:positionH>
              <wp:positionV relativeFrom="paragraph">
                <wp:posOffset>-482599</wp:posOffset>
              </wp:positionV>
              <wp:extent cx="7778750" cy="656957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2975" y="3459325"/>
                        <a:ext cx="7766050" cy="641350"/>
                      </a:xfrm>
                      <a:prstGeom prst="rect">
                        <a:avLst/>
                      </a:prstGeom>
                      <a:solidFill>
                        <a:srgbClr val="062C45"/>
                      </a:solidFill>
                      <a:ln w="12700" cap="flat" cmpd="sng">
                        <a:solidFill>
                          <a:srgbClr val="0C343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C38E71A" w14:textId="77777777" w:rsidR="00B64669" w:rsidRDefault="00B64669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75874B" id="Rectangle 10" o:spid="_x0000_s1026" style="position:absolute;margin-left:-36pt;margin-top:-38pt;width:612.5pt;height:5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" fillcolor="#062c45" strokecolor="#0c343d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0C38E71A" w14:textId="77777777" w:rsidR="00B64669" w:rsidRDefault="00B64669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8E4185E" wp14:editId="4187A7B0">
          <wp:simplePos x="0" y="0"/>
          <wp:positionH relativeFrom="column">
            <wp:posOffset>-19049</wp:posOffset>
          </wp:positionH>
          <wp:positionV relativeFrom="paragraph">
            <wp:posOffset>-406399</wp:posOffset>
          </wp:positionV>
          <wp:extent cx="2123951" cy="480013"/>
          <wp:effectExtent l="0" t="0" r="0" b="0"/>
          <wp:wrapNone/>
          <wp:docPr id="11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3951" cy="48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69"/>
    <w:rsid w:val="001A17C3"/>
    <w:rsid w:val="00591492"/>
    <w:rsid w:val="007F41E0"/>
    <w:rsid w:val="00B64669"/>
    <w:rsid w:val="00E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A99"/>
  <w15:docId w15:val="{866FE704-BFD9-4ABE-990C-0473723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7B"/>
    <w:rPr>
      <w:rFonts w:cs="Times New Roman"/>
    </w:rPr>
  </w:style>
  <w:style w:type="paragraph" w:styleId="Heading1">
    <w:name w:val="heading 1"/>
    <w:next w:val="Normal"/>
    <w:link w:val="Heading1Char"/>
    <w:uiPriority w:val="9"/>
    <w:qFormat/>
    <w:rsid w:val="001E6473"/>
    <w:pPr>
      <w:keepNext/>
      <w:keepLines/>
      <w:spacing w:after="0" w:line="259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5C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C38"/>
  </w:style>
  <w:style w:type="paragraph" w:styleId="Footer">
    <w:name w:val="footer"/>
    <w:basedOn w:val="Normal"/>
    <w:link w:val="FooterChar"/>
    <w:uiPriority w:val="99"/>
    <w:unhideWhenUsed/>
    <w:rsid w:val="00525C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5C38"/>
  </w:style>
  <w:style w:type="paragraph" w:styleId="NoSpacing">
    <w:name w:val="No Spacing"/>
    <w:uiPriority w:val="1"/>
    <w:qFormat/>
    <w:rsid w:val="00B60E62"/>
    <w:pPr>
      <w:spacing w:after="0"/>
    </w:pPr>
  </w:style>
  <w:style w:type="table" w:styleId="TableGrid">
    <w:name w:val="Table Grid"/>
    <w:basedOn w:val="TableNormal"/>
    <w:uiPriority w:val="59"/>
    <w:rsid w:val="007C667B"/>
    <w:pPr>
      <w:spacing w:after="0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7B"/>
    <w:pPr>
      <w:spacing w:before="240" w:after="240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C66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7B"/>
    <w:rPr>
      <w:rFonts w:ascii="Segoe UI" w:eastAsia="Calibri" w:hAnsi="Segoe UI" w:cs="Segoe UI"/>
      <w:sz w:val="18"/>
      <w:szCs w:val="1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E6473"/>
    <w:rPr>
      <w:rFonts w:ascii="Calibri" w:eastAsia="Calibri" w:hAnsi="Calibri" w:cs="Calibri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6C02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CE0D40"/>
    <w:pPr>
      <w:widowControl w:val="0"/>
      <w:tabs>
        <w:tab w:val="left" w:pos="240"/>
      </w:tabs>
      <w:overflowPunct w:val="0"/>
      <w:autoSpaceDE w:val="0"/>
      <w:autoSpaceDN w:val="0"/>
      <w:adjustRightInd w:val="0"/>
      <w:spacing w:after="0" w:line="240" w:lineRule="atLeast"/>
      <w:ind w:firstLine="240"/>
      <w:jc w:val="both"/>
      <w:textAlignment w:val="baseline"/>
    </w:pPr>
    <w:rPr>
      <w:rFonts w:ascii="Times" w:eastAsia="Times New Roman" w:hAnsi="Times"/>
      <w:sz w:val="21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E0D40"/>
    <w:rPr>
      <w:rFonts w:ascii="Times" w:eastAsia="Times New Roman" w:hAnsi="Times" w:cs="Times New Roman"/>
      <w:sz w:val="21"/>
      <w:szCs w:val="20"/>
      <w:lang w:val="x-none" w:eastAsia="x-none"/>
    </w:rPr>
  </w:style>
  <w:style w:type="paragraph" w:customStyle="1" w:styleId="H3">
    <w:name w:val="H3"/>
    <w:rsid w:val="00CE0D40"/>
    <w:pPr>
      <w:widowControl w:val="0"/>
      <w:tabs>
        <w:tab w:val="left" w:pos="240"/>
        <w:tab w:val="left" w:pos="360"/>
      </w:tabs>
      <w:overflowPunct w:val="0"/>
      <w:autoSpaceDE w:val="0"/>
      <w:autoSpaceDN w:val="0"/>
      <w:adjustRightInd w:val="0"/>
      <w:spacing w:before="120" w:after="240" w:line="240" w:lineRule="atLeast"/>
      <w:textAlignment w:val="baseline"/>
    </w:pPr>
    <w:rPr>
      <w:rFonts w:ascii="Times" w:eastAsia="Times New Roman" w:hAnsi="Times" w:cs="Times New Roman"/>
      <w:b/>
      <w:sz w:val="21"/>
      <w:szCs w:val="20"/>
    </w:rPr>
  </w:style>
  <w:style w:type="paragraph" w:customStyle="1" w:styleId="L2-a">
    <w:name w:val="L2-a"/>
    <w:rsid w:val="00CE0D40"/>
    <w:pPr>
      <w:widowControl w:val="0"/>
      <w:tabs>
        <w:tab w:val="right" w:pos="620"/>
        <w:tab w:val="left" w:pos="720"/>
      </w:tabs>
      <w:overflowPunct w:val="0"/>
      <w:autoSpaceDE w:val="0"/>
      <w:autoSpaceDN w:val="0"/>
      <w:adjustRightInd w:val="0"/>
      <w:spacing w:after="0" w:line="240" w:lineRule="atLeast"/>
      <w:ind w:left="720" w:hanging="720"/>
      <w:jc w:val="both"/>
      <w:textAlignment w:val="baseline"/>
    </w:pPr>
    <w:rPr>
      <w:rFonts w:ascii="Times" w:eastAsia="Times New Roman" w:hAnsi="Times" w:cs="Times New Roman"/>
      <w:sz w:val="21"/>
      <w:szCs w:val="20"/>
    </w:rPr>
  </w:style>
  <w:style w:type="paragraph" w:customStyle="1" w:styleId="BodyFlush">
    <w:name w:val="Body Flush"/>
    <w:rsid w:val="00CE0D40"/>
    <w:pPr>
      <w:widowControl w:val="0"/>
      <w:tabs>
        <w:tab w:val="left" w:pos="240"/>
        <w:tab w:val="left" w:pos="685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" w:eastAsia="Times New Roman" w:hAnsi="Times" w:cs="Times New Roman"/>
      <w:sz w:val="21"/>
      <w:szCs w:val="20"/>
    </w:rPr>
  </w:style>
  <w:style w:type="paragraph" w:customStyle="1" w:styleId="Bodyright">
    <w:name w:val="Body right"/>
    <w:rsid w:val="00CE0D40"/>
    <w:pPr>
      <w:widowControl w:val="0"/>
      <w:tabs>
        <w:tab w:val="right" w:pos="3360"/>
        <w:tab w:val="left" w:pos="3600"/>
        <w:tab w:val="right" w:leader="underscore" w:pos="6460"/>
      </w:tabs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Times" w:eastAsia="Times New Roman" w:hAnsi="Times" w:cs="Times New Roman"/>
      <w:sz w:val="21"/>
      <w:szCs w:val="20"/>
    </w:rPr>
  </w:style>
  <w:style w:type="paragraph" w:customStyle="1" w:styleId="BodyFlush6">
    <w:name w:val="Body Flush+6"/>
    <w:rsid w:val="00CE0D40"/>
    <w:pPr>
      <w:widowControl w:val="0"/>
      <w:tabs>
        <w:tab w:val="left" w:pos="240"/>
      </w:tabs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Times" w:eastAsia="Times New Roman" w:hAnsi="Times" w:cs="Times New Roman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3C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6A2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6A2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A041A"/>
    <w:rPr>
      <w:rFonts w:cs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htNDRQU5Ohel42yRbJr5VVAMQ==">AMUW2mUp5pa2BGlucVvM+xJjbj6yihoGW7Xuf3guns+3x3b1dHIE4wlNPeuIHSgQhF59xxETejLxWvzmExRMQF+5Y5Ej94Fn6p+upr4uUBTqK6tJi3XCyt0=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Jamil Rahman</dc:creator>
  <cp:lastModifiedBy>Ravinder Marwaha</cp:lastModifiedBy>
  <cp:revision>2</cp:revision>
  <dcterms:created xsi:type="dcterms:W3CDTF">2022-08-05T17:46:00Z</dcterms:created>
  <dcterms:modified xsi:type="dcterms:W3CDTF">2022-08-05T17:46:00Z</dcterms:modified>
</cp:coreProperties>
</file>